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7" w:type="dxa"/>
        <w:tblLayout w:type="fixed"/>
        <w:tblCellMar>
          <w:top w:w="55" w:type="dxa"/>
          <w:left w:w="55" w:type="dxa"/>
          <w:bottom w:w="55" w:type="dxa"/>
          <w:right w:w="55" w:type="dxa"/>
        </w:tblCellMar>
        <w:tblLook w:val="0000" w:firstRow="0" w:lastRow="0" w:firstColumn="0" w:lastColumn="0" w:noHBand="0" w:noVBand="0"/>
      </w:tblPr>
      <w:tblGrid>
        <w:gridCol w:w="4266"/>
        <w:gridCol w:w="1984"/>
        <w:gridCol w:w="3106"/>
      </w:tblGrid>
      <w:tr w:rsidR="00084BBB" w:rsidRPr="00BC7E59" w14:paraId="1C31DF25" w14:textId="77777777" w:rsidTr="005A2700">
        <w:trPr>
          <w:trHeight w:val="20"/>
        </w:trPr>
        <w:tc>
          <w:tcPr>
            <w:tcW w:w="4266" w:type="dxa"/>
            <w:shd w:val="clear" w:color="auto" w:fill="auto"/>
          </w:tcPr>
          <w:p w14:paraId="0E715576" w14:textId="77777777" w:rsidR="00084BBB" w:rsidRDefault="00084BBB" w:rsidP="005A2700">
            <w:pPr>
              <w:pStyle w:val="Nagwek3"/>
              <w:snapToGrid w:val="0"/>
              <w:spacing w:line="100" w:lineRule="atLeast"/>
              <w:rPr>
                <w:b w:val="0"/>
                <w:bCs w:val="0"/>
                <w:sz w:val="16"/>
                <w:szCs w:val="16"/>
              </w:rPr>
            </w:pPr>
          </w:p>
        </w:tc>
        <w:tc>
          <w:tcPr>
            <w:tcW w:w="1984" w:type="dxa"/>
            <w:shd w:val="clear" w:color="auto" w:fill="auto"/>
          </w:tcPr>
          <w:p w14:paraId="2CE845F8" w14:textId="77777777" w:rsidR="00084BBB" w:rsidRDefault="00084BBB" w:rsidP="005A2700">
            <w:pPr>
              <w:pStyle w:val="Zawartotabeli"/>
              <w:snapToGrid w:val="0"/>
              <w:spacing w:line="100" w:lineRule="atLeast"/>
              <w:rPr>
                <w:b/>
                <w:bCs/>
                <w:sz w:val="16"/>
                <w:szCs w:val="16"/>
              </w:rPr>
            </w:pPr>
          </w:p>
        </w:tc>
        <w:tc>
          <w:tcPr>
            <w:tcW w:w="3106" w:type="dxa"/>
            <w:shd w:val="clear" w:color="auto" w:fill="auto"/>
          </w:tcPr>
          <w:p w14:paraId="65D0F41D" w14:textId="0C6234D8" w:rsidR="00084BBB" w:rsidRDefault="00084BBB" w:rsidP="005A2700">
            <w:pPr>
              <w:pStyle w:val="Zawartotabeli"/>
              <w:snapToGrid w:val="0"/>
              <w:spacing w:line="100" w:lineRule="atLeast"/>
              <w:jc w:val="right"/>
              <w:rPr>
                <w:b/>
                <w:bCs/>
                <w:sz w:val="16"/>
                <w:szCs w:val="16"/>
              </w:rPr>
            </w:pPr>
            <w:r>
              <w:rPr>
                <w:b/>
                <w:bCs/>
                <w:sz w:val="16"/>
                <w:szCs w:val="16"/>
              </w:rPr>
              <w:t xml:space="preserve">Załącznik nr </w:t>
            </w:r>
            <w:r w:rsidR="00033B95">
              <w:rPr>
                <w:b/>
                <w:bCs/>
                <w:sz w:val="16"/>
                <w:szCs w:val="16"/>
              </w:rPr>
              <w:t>2</w:t>
            </w:r>
          </w:p>
        </w:tc>
      </w:tr>
      <w:tr w:rsidR="00084BBB" w:rsidRPr="00F5332A" w14:paraId="35C76152" w14:textId="77777777" w:rsidTr="005A2700">
        <w:trPr>
          <w:trHeight w:val="20"/>
        </w:trPr>
        <w:tc>
          <w:tcPr>
            <w:tcW w:w="4266" w:type="dxa"/>
            <w:shd w:val="clear" w:color="auto" w:fill="auto"/>
          </w:tcPr>
          <w:p w14:paraId="404A436B" w14:textId="77777777" w:rsidR="00084BBB" w:rsidRDefault="00084BBB" w:rsidP="005A2700">
            <w:pPr>
              <w:pStyle w:val="Nagwek3"/>
              <w:numPr>
                <w:ilvl w:val="0"/>
                <w:numId w:val="0"/>
              </w:numPr>
              <w:snapToGrid w:val="0"/>
              <w:spacing w:line="100" w:lineRule="atLeast"/>
              <w:jc w:val="left"/>
              <w:rPr>
                <w:b w:val="0"/>
                <w:bCs w:val="0"/>
                <w:sz w:val="16"/>
                <w:szCs w:val="16"/>
              </w:rPr>
            </w:pPr>
            <w:r>
              <w:rPr>
                <w:b w:val="0"/>
                <w:bCs w:val="0"/>
                <w:sz w:val="16"/>
                <w:szCs w:val="16"/>
              </w:rPr>
              <w:t xml:space="preserve">Do umowy </w:t>
            </w:r>
            <w:r w:rsidRPr="00932462">
              <w:rPr>
                <w:b w:val="0"/>
                <w:bCs w:val="0"/>
                <w:sz w:val="16"/>
                <w:szCs w:val="16"/>
              </w:rPr>
              <w:t xml:space="preserve">nr </w:t>
            </w:r>
            <w:r w:rsidRPr="00932462">
              <w:rPr>
                <w:sz w:val="16"/>
                <w:szCs w:val="16"/>
              </w:rPr>
              <w:t>………………………</w:t>
            </w:r>
            <w:r w:rsidRPr="00932462">
              <w:rPr>
                <w:b w:val="0"/>
                <w:bCs w:val="0"/>
                <w:sz w:val="16"/>
                <w:szCs w:val="16"/>
              </w:rPr>
              <w:t>:</w:t>
            </w:r>
            <w:r>
              <w:rPr>
                <w:b w:val="0"/>
                <w:bCs w:val="0"/>
                <w:sz w:val="16"/>
                <w:szCs w:val="16"/>
              </w:rPr>
              <w:t xml:space="preserve"> </w:t>
            </w:r>
          </w:p>
        </w:tc>
        <w:tc>
          <w:tcPr>
            <w:tcW w:w="1984" w:type="dxa"/>
            <w:shd w:val="clear" w:color="auto" w:fill="auto"/>
          </w:tcPr>
          <w:p w14:paraId="7C092374" w14:textId="77777777" w:rsidR="00084BBB" w:rsidRDefault="00084BBB" w:rsidP="005A2700">
            <w:pPr>
              <w:pStyle w:val="Zawartotabeli"/>
              <w:snapToGrid w:val="0"/>
              <w:spacing w:line="100" w:lineRule="atLeast"/>
              <w:rPr>
                <w:b/>
                <w:bCs/>
                <w:sz w:val="16"/>
                <w:szCs w:val="16"/>
              </w:rPr>
            </w:pPr>
          </w:p>
        </w:tc>
        <w:tc>
          <w:tcPr>
            <w:tcW w:w="3106" w:type="dxa"/>
            <w:shd w:val="clear" w:color="auto" w:fill="auto"/>
          </w:tcPr>
          <w:p w14:paraId="05A21334" w14:textId="77777777" w:rsidR="00084BBB" w:rsidRPr="00F5332A" w:rsidRDefault="00084BBB" w:rsidP="005A2700">
            <w:pPr>
              <w:pStyle w:val="Zawartotabeli"/>
              <w:snapToGrid w:val="0"/>
              <w:spacing w:line="100" w:lineRule="atLeast"/>
              <w:jc w:val="right"/>
              <w:rPr>
                <w:b/>
                <w:bCs/>
                <w:sz w:val="16"/>
                <w:szCs w:val="16"/>
                <w:highlight w:val="yellow"/>
              </w:rPr>
            </w:pPr>
          </w:p>
        </w:tc>
      </w:tr>
    </w:tbl>
    <w:p w14:paraId="3CED5FCE" w14:textId="77777777" w:rsidR="00084BBB" w:rsidRDefault="00084BBB" w:rsidP="00084BBB">
      <w:pPr>
        <w:ind w:left="-1134"/>
        <w:jc w:val="both"/>
        <w:rPr>
          <w:rStyle w:val="fontstyle01"/>
        </w:rPr>
      </w:pPr>
    </w:p>
    <w:p w14:paraId="79813394" w14:textId="77777777" w:rsidR="00084BBB" w:rsidRDefault="00084BBB" w:rsidP="00084BBB">
      <w:pPr>
        <w:ind w:left="-1134"/>
        <w:jc w:val="both"/>
        <w:rPr>
          <w:rStyle w:val="fontstyle01"/>
        </w:rPr>
      </w:pPr>
    </w:p>
    <w:p w14:paraId="6CA4BB7C" w14:textId="77777777" w:rsidR="00084BBB" w:rsidRDefault="00084BBB" w:rsidP="00084BBB">
      <w:pPr>
        <w:ind w:left="-1134"/>
        <w:jc w:val="both"/>
        <w:rPr>
          <w:rStyle w:val="fontstyle01"/>
        </w:rPr>
      </w:pPr>
      <w:r>
        <w:rPr>
          <w:rStyle w:val="fontstyle01"/>
        </w:rPr>
        <w:t>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celu wypełnienia obowiązku informacyjnego wynikającego z</w:t>
      </w:r>
      <w:r>
        <w:rPr>
          <w:rStyle w:val="fontstyle01"/>
          <w:rFonts w:hint="eastAsia"/>
        </w:rPr>
        <w:t> </w:t>
      </w:r>
      <w:r>
        <w:rPr>
          <w:rStyle w:val="fontstyle01"/>
        </w:rPr>
        <w:t>przepisów niniejszego rozporządzenia, poniżej przedstawiamy klauzulę informacyjną dla Kontrahentów Zarządu Transportu Miejskiego w Rzeszowie.</w:t>
      </w:r>
    </w:p>
    <w:p w14:paraId="06B974AB" w14:textId="77777777" w:rsidR="00084BBB" w:rsidRDefault="00084BBB" w:rsidP="00084BBB">
      <w:pPr>
        <w:spacing w:after="0"/>
        <w:ind w:left="-1134"/>
        <w:jc w:val="both"/>
        <w:rPr>
          <w:rStyle w:val="fontstyle21"/>
        </w:rPr>
      </w:pPr>
      <w:r>
        <w:rPr>
          <w:rStyle w:val="fontstyle21"/>
        </w:rPr>
        <w:t>1. Administratorem Pani/Pana danych osobowych jest Gmina Miasto Rzeszów - Zarząd Transportu Miejskiego w</w:t>
      </w:r>
      <w:r>
        <w:rPr>
          <w:rStyle w:val="fontstyle21"/>
          <w:rFonts w:hint="eastAsia"/>
        </w:rPr>
        <w:t> </w:t>
      </w:r>
      <w:r>
        <w:rPr>
          <w:rStyle w:val="fontstyle21"/>
        </w:rPr>
        <w:t xml:space="preserve">Rzeszowie (dalej zwany: ZTM w Rzeszowie), ul. Stanisława Trembeckiego 3, 35-234 Rzeszów, email: </w:t>
      </w:r>
      <w:hyperlink r:id="rId5" w:history="1">
        <w:r w:rsidRPr="0034573D">
          <w:rPr>
            <w:rStyle w:val="Hipercze"/>
            <w:rFonts w:ascii="TimesNewRomanPSMT" w:hAnsi="TimesNewRomanPSMT"/>
          </w:rPr>
          <w:t>ztm@ztm.erzeszow.pl</w:t>
        </w:r>
      </w:hyperlink>
      <w:r>
        <w:rPr>
          <w:rStyle w:val="fontstyle21"/>
        </w:rPr>
        <w:t>;</w:t>
      </w:r>
    </w:p>
    <w:p w14:paraId="13BD77E6" w14:textId="77777777" w:rsidR="00084BBB" w:rsidRDefault="00084BBB" w:rsidP="00084BBB">
      <w:pPr>
        <w:spacing w:after="0"/>
        <w:ind w:left="-1134"/>
        <w:jc w:val="both"/>
        <w:rPr>
          <w:rStyle w:val="fontstyle21"/>
        </w:rPr>
      </w:pPr>
      <w:r>
        <w:rPr>
          <w:rStyle w:val="fontstyle21"/>
        </w:rPr>
        <w:t>2. Kontakt do Inspektora Ochrony Danych – email: iod@ztm.erzeszow.pl, lub pisemnie na adres Administratora. Więcej informacji na stronie internetowej: ztm.rzeszow.pl/rodo;</w:t>
      </w:r>
    </w:p>
    <w:p w14:paraId="66AD79BC" w14:textId="77777777" w:rsidR="00084BBB" w:rsidRDefault="00084BBB" w:rsidP="00084BBB">
      <w:pPr>
        <w:spacing w:after="0"/>
        <w:ind w:left="-1134"/>
        <w:jc w:val="both"/>
        <w:rPr>
          <w:rStyle w:val="fontstyle21"/>
        </w:rPr>
      </w:pPr>
      <w:r>
        <w:rPr>
          <w:rStyle w:val="fontstyle21"/>
        </w:rPr>
        <w:t>3. Pani/Pana dane osobowe są nam potrzebne, by zrealizować umowę jaką Państwo zawierają z ZTM w Rzeszowie przyjmując za podstawę prawną przetwarzania art. 6 ust. 1 lit. b RODO. Przede wszystkim dla wyboru kontrahenta w ramach postępowania o udzielenie zamówienia publicznego i będą przechowywane przez okres wynikający z</w:t>
      </w:r>
      <w:r>
        <w:rPr>
          <w:rStyle w:val="fontstyle21"/>
          <w:rFonts w:hint="eastAsia"/>
        </w:rPr>
        <w:t> </w:t>
      </w:r>
      <w:r>
        <w:rPr>
          <w:rStyle w:val="fontstyle21"/>
        </w:rPr>
        <w:t>obowiązujących przepisów prawnych; realizacji umowy z kontrahentem; zapewnienia bezpieczeństwa informacji;</w:t>
      </w:r>
    </w:p>
    <w:p w14:paraId="28241091" w14:textId="77777777" w:rsidR="00084BBB" w:rsidRDefault="00084BBB" w:rsidP="00084BBB">
      <w:pPr>
        <w:spacing w:after="0"/>
        <w:ind w:left="-1134"/>
        <w:jc w:val="both"/>
        <w:rPr>
          <w:rStyle w:val="fontstyle21"/>
        </w:rPr>
      </w:pPr>
      <w:r>
        <w:rPr>
          <w:rStyle w:val="fontstyle21"/>
        </w:rPr>
        <w:t>4. Pani/Pana dane mogę być udostępnione przez ZTM w Rzeszowie podmiotom oraz organom uprawnionym do otrzymania od ZTM w Rzeszowie danych osobowych lub uprawnionych do żądania dostępu do danych osobowych na podstawie powszechnie obowiązujących przepisów prawa; podmiotom zajmującym się brakowaniem i</w:t>
      </w:r>
      <w:r>
        <w:rPr>
          <w:rStyle w:val="fontstyle21"/>
          <w:rFonts w:hint="eastAsia"/>
        </w:rPr>
        <w:t> </w:t>
      </w:r>
      <w:r>
        <w:rPr>
          <w:rStyle w:val="fontstyle21"/>
        </w:rPr>
        <w:t>niszczeniem dokumentacji; Urząd Miasta Rzeszowa i jego jednostki organizacyjne, Rada Miasta Rzeszowa, Krajowa Izba Odwoławcza, dostawcy systemów IT, firmy doradcze i konsultingowe, kancelariom prawnym i</w:t>
      </w:r>
      <w:r>
        <w:rPr>
          <w:rStyle w:val="fontstyle21"/>
          <w:rFonts w:hint="eastAsia"/>
        </w:rPr>
        <w:t> </w:t>
      </w:r>
      <w:r>
        <w:rPr>
          <w:rStyle w:val="fontstyle21"/>
        </w:rPr>
        <w:t>windykacyjnym, podmiotom prowadzącym działalność pocztową lub kurierską;</w:t>
      </w:r>
    </w:p>
    <w:p w14:paraId="0A9C5A67" w14:textId="77777777" w:rsidR="00084BBB" w:rsidRDefault="00084BBB" w:rsidP="00084BBB">
      <w:pPr>
        <w:spacing w:after="0"/>
        <w:ind w:left="-1134"/>
        <w:jc w:val="both"/>
        <w:rPr>
          <w:rStyle w:val="fontstyle21"/>
        </w:rPr>
      </w:pPr>
      <w:r>
        <w:rPr>
          <w:rStyle w:val="fontstyle21"/>
        </w:rPr>
        <w:t>5. Pani/Pana dane osobowe będą przechowywane zgodnie z zapisami instrukcji kancelaryjnej stosowanej w ZTM w</w:t>
      </w:r>
      <w:r>
        <w:rPr>
          <w:rStyle w:val="fontstyle21"/>
          <w:rFonts w:hint="eastAsia"/>
        </w:rPr>
        <w:t> </w:t>
      </w:r>
      <w:r>
        <w:rPr>
          <w:rStyle w:val="fontstyle21"/>
        </w:rPr>
        <w:t>Rzeszowie przez czas uzależniony od kategorii archiwalnej akt sprawy zatwierdzonej w jednolitym rzeczowym wykazie akt obowiązującym w ZTM w Rzeszowie;</w:t>
      </w:r>
    </w:p>
    <w:p w14:paraId="2B44DF16" w14:textId="77777777" w:rsidR="00084BBB" w:rsidRDefault="00084BBB" w:rsidP="00084BBB">
      <w:pPr>
        <w:spacing w:after="0"/>
        <w:ind w:left="-1134"/>
        <w:jc w:val="both"/>
        <w:rPr>
          <w:rStyle w:val="fontstyle21"/>
        </w:rPr>
      </w:pPr>
      <w:r>
        <w:rPr>
          <w:rStyle w:val="fontstyle21"/>
        </w:rPr>
        <w:t>6. Posiada Pani/Pan prawo dostępności do treści swoich danych osobowych, ich sprostowania (gdy dane są nieprawidłowe lub niekompletne), usunięcia danych osobowych (prawo do bycia zapomnianym), ograniczenia przetwarzania, prawo do wniesienia sprzeciwu wobec dalszego przetwarzania, prawo do przenoszenia danych osobowych, prawo wniesienia skargi do organu nadzorczego – Prezesa Urzędu Ochrony Danych Osobowych (w</w:t>
      </w:r>
      <w:r>
        <w:rPr>
          <w:rStyle w:val="fontstyle21"/>
          <w:rFonts w:hint="eastAsia"/>
        </w:rPr>
        <w:t> </w:t>
      </w:r>
      <w:r>
        <w:rPr>
          <w:rStyle w:val="fontstyle21"/>
        </w:rPr>
        <w:t>przypadku, gdy uzna Pani/Pan, że przetwarzanie Pani/Pana danych osobowych narusza przepisy RODO). Cofnięcie zgody na przetwarzanie danych osobowych nie ma wpływu na zgodność przetwarzania, którego dokonano na podstawie zgody przed jej cofnięciem, z obowiązującym prawem. Szczegółowe warunki możliwości realizacji ww. praw zawiera rozporządzenie o ochronie danych osobowych z dnia 27 kwietnia 2016 r. zwanego RODO;</w:t>
      </w:r>
    </w:p>
    <w:p w14:paraId="0C2F1547" w14:textId="77777777" w:rsidR="00084BBB" w:rsidRDefault="00084BBB" w:rsidP="00084BBB">
      <w:pPr>
        <w:spacing w:after="0"/>
        <w:ind w:left="-1134"/>
        <w:jc w:val="both"/>
        <w:rPr>
          <w:rStyle w:val="fontstyle21"/>
        </w:rPr>
      </w:pPr>
      <w:r>
        <w:rPr>
          <w:rStyle w:val="fontstyle21"/>
        </w:rPr>
        <w:t>7. Podanie Pani/Pana danych osobowych jest warunkiem niezbędnym do udziału w postępowaniu o udzielenie zamówienia publicznego, a konsekwencją ich nie podania będzie brak możliwości udziału w postępowaniu;</w:t>
      </w:r>
    </w:p>
    <w:p w14:paraId="055006CF" w14:textId="77777777" w:rsidR="00084BBB" w:rsidRDefault="00084BBB" w:rsidP="00084BBB">
      <w:pPr>
        <w:spacing w:after="0"/>
        <w:ind w:left="-1134"/>
        <w:jc w:val="both"/>
        <w:rPr>
          <w:rStyle w:val="fontstyle21"/>
        </w:rPr>
      </w:pPr>
      <w:r>
        <w:rPr>
          <w:rStyle w:val="fontstyle21"/>
        </w:rPr>
        <w:t>8. Pani/Pana dane osobowe nie będą przekazywane do Państw trzecich;</w:t>
      </w:r>
    </w:p>
    <w:p w14:paraId="6A21E7A6" w14:textId="77777777" w:rsidR="00084BBB" w:rsidRDefault="00084BBB" w:rsidP="00084BBB">
      <w:pPr>
        <w:spacing w:after="0"/>
        <w:ind w:left="-1134"/>
        <w:jc w:val="both"/>
        <w:rPr>
          <w:rStyle w:val="fontstyle21"/>
        </w:rPr>
      </w:pPr>
      <w:r>
        <w:rPr>
          <w:rStyle w:val="fontstyle21"/>
        </w:rPr>
        <w:t>9. Pani/Pana dane osobowe nie będą przetwarzane przez ZTM w Rzeszowie w sposób zautomatyzowany, w tym nie będą profilowane;</w:t>
      </w:r>
    </w:p>
    <w:p w14:paraId="31C0AAD7" w14:textId="77777777" w:rsidR="00084BBB" w:rsidRDefault="00084BBB" w:rsidP="00084BBB">
      <w:pPr>
        <w:spacing w:after="0"/>
        <w:ind w:left="-1134"/>
        <w:jc w:val="both"/>
        <w:rPr>
          <w:rStyle w:val="fontstyle21"/>
        </w:rPr>
      </w:pPr>
      <w:r>
        <w:rPr>
          <w:rStyle w:val="fontstyle21"/>
        </w:rPr>
        <w:t>10. W przypadku jakichkolwiek pytań czy wątpliwości dotyczących ochrony Pani/Pana danych osobowych w ZTM w Rzeszowie prosimy o kontakt z naszym Inspektorem Ochrony Danych, o którym mowa w ust. 2.</w:t>
      </w:r>
    </w:p>
    <w:p w14:paraId="4766C449" w14:textId="77777777" w:rsidR="00084BBB" w:rsidRDefault="00084BBB" w:rsidP="00084BBB">
      <w:pPr>
        <w:ind w:left="4678"/>
      </w:pPr>
      <w:r>
        <w:rPr>
          <w:rFonts w:ascii="TimesNewRomanPSMT" w:hAnsi="TimesNewRomanPSMT"/>
          <w:color w:val="000000"/>
        </w:rPr>
        <w:br/>
      </w:r>
      <w:r>
        <w:rPr>
          <w:rStyle w:val="fontstyle21"/>
        </w:rPr>
        <w:t>Dyrektor</w:t>
      </w:r>
      <w:r>
        <w:rPr>
          <w:rFonts w:ascii="TimesNewRomanPSMT" w:hAnsi="TimesNewRomanPSMT"/>
          <w:color w:val="000000"/>
        </w:rPr>
        <w:br/>
      </w:r>
      <w:r>
        <w:rPr>
          <w:rStyle w:val="fontstyle21"/>
        </w:rPr>
        <w:t>Zarządu Transportu Miejskiego w Rzeszowie</w:t>
      </w:r>
    </w:p>
    <w:sectPr w:rsidR="00084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3728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BB"/>
    <w:rsid w:val="00033B95"/>
    <w:rsid w:val="000718EA"/>
    <w:rsid w:val="00084BBB"/>
    <w:rsid w:val="00803BAB"/>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F4F2"/>
  <w15:chartTrackingRefBased/>
  <w15:docId w15:val="{1A5C6E1F-CCBD-48CF-B2C0-CAA025B3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BBB"/>
    <w:rPr>
      <w:rFonts w:ascii="Calibri" w:eastAsia="Calibri" w:hAnsi="Calibri" w:cs="Times New Roman"/>
      <w:lang w:eastAsia="en-US"/>
    </w:rPr>
  </w:style>
  <w:style w:type="paragraph" w:styleId="Nagwek1">
    <w:name w:val="heading 1"/>
    <w:basedOn w:val="Normalny"/>
    <w:next w:val="Normalny"/>
    <w:link w:val="Nagwek1Znak"/>
    <w:uiPriority w:val="9"/>
    <w:qFormat/>
    <w:rsid w:val="00084BBB"/>
    <w:pPr>
      <w:keepNext/>
      <w:numPr>
        <w:numId w:val="1"/>
      </w:numPr>
      <w:suppressAutoHyphens/>
      <w:spacing w:after="0" w:line="240" w:lineRule="auto"/>
      <w:jc w:val="center"/>
      <w:outlineLvl w:val="0"/>
    </w:pPr>
    <w:rPr>
      <w:rFonts w:ascii="Times New Roman" w:eastAsia="Times New Roman" w:hAnsi="Times New Roman"/>
      <w:b/>
      <w:bCs/>
      <w:sz w:val="16"/>
      <w:szCs w:val="16"/>
      <w:lang w:eastAsia="ar-SA"/>
    </w:rPr>
  </w:style>
  <w:style w:type="paragraph" w:styleId="Nagwek2">
    <w:name w:val="heading 2"/>
    <w:basedOn w:val="Normalny"/>
    <w:next w:val="Normalny"/>
    <w:link w:val="Nagwek2Znak"/>
    <w:qFormat/>
    <w:rsid w:val="00084BBB"/>
    <w:pPr>
      <w:keepNext/>
      <w:numPr>
        <w:ilvl w:val="1"/>
        <w:numId w:val="1"/>
      </w:numPr>
      <w:suppressAutoHyphens/>
      <w:spacing w:after="0" w:line="240" w:lineRule="auto"/>
      <w:outlineLvl w:val="1"/>
    </w:pPr>
    <w:rPr>
      <w:rFonts w:ascii="Times New Roman" w:eastAsia="Times New Roman" w:hAnsi="Times New Roman"/>
      <w:b/>
      <w:bCs/>
      <w:sz w:val="20"/>
      <w:szCs w:val="20"/>
      <w:lang w:eastAsia="ar-SA"/>
    </w:rPr>
  </w:style>
  <w:style w:type="paragraph" w:styleId="Nagwek3">
    <w:name w:val="heading 3"/>
    <w:basedOn w:val="Normalny"/>
    <w:next w:val="Normalny"/>
    <w:link w:val="Nagwek3Znak"/>
    <w:qFormat/>
    <w:rsid w:val="00084BBB"/>
    <w:pPr>
      <w:keepNext/>
      <w:numPr>
        <w:ilvl w:val="2"/>
        <w:numId w:val="1"/>
      </w:numPr>
      <w:suppressAutoHyphens/>
      <w:spacing w:after="0" w:line="240" w:lineRule="auto"/>
      <w:jc w:val="center"/>
      <w:outlineLvl w:val="2"/>
    </w:pPr>
    <w:rPr>
      <w:rFonts w:ascii="Times New Roman" w:eastAsia="Times New Roman" w:hAnsi="Times New Roman"/>
      <w:b/>
      <w:bCs/>
      <w:sz w:val="24"/>
      <w:szCs w:val="20"/>
      <w:lang w:eastAsia="ar-SA"/>
    </w:rPr>
  </w:style>
  <w:style w:type="paragraph" w:styleId="Nagwek4">
    <w:name w:val="heading 4"/>
    <w:basedOn w:val="Normalny"/>
    <w:next w:val="Normalny"/>
    <w:link w:val="Nagwek4Znak"/>
    <w:qFormat/>
    <w:rsid w:val="00084BBB"/>
    <w:pPr>
      <w:keepNext/>
      <w:numPr>
        <w:ilvl w:val="3"/>
        <w:numId w:val="1"/>
      </w:numPr>
      <w:suppressAutoHyphens/>
      <w:spacing w:after="0" w:line="240" w:lineRule="auto"/>
      <w:jc w:val="center"/>
      <w:outlineLvl w:val="3"/>
    </w:pPr>
    <w:rPr>
      <w:rFonts w:ascii="Times New Roman" w:eastAsia="Times New Roman" w:hAnsi="Times New Roman"/>
      <w:b/>
      <w:color w:val="000080"/>
      <w:sz w:val="24"/>
      <w:szCs w:val="20"/>
      <w:lang w:eastAsia="ar-SA"/>
    </w:rPr>
  </w:style>
  <w:style w:type="paragraph" w:styleId="Nagwek5">
    <w:name w:val="heading 5"/>
    <w:basedOn w:val="Normalny"/>
    <w:next w:val="Normalny"/>
    <w:link w:val="Nagwek5Znak"/>
    <w:qFormat/>
    <w:rsid w:val="00084BBB"/>
    <w:pPr>
      <w:numPr>
        <w:ilvl w:val="4"/>
        <w:numId w:val="1"/>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Nagwek6">
    <w:name w:val="heading 6"/>
    <w:basedOn w:val="Normalny"/>
    <w:next w:val="Normalny"/>
    <w:link w:val="Nagwek6Znak"/>
    <w:qFormat/>
    <w:rsid w:val="00084BBB"/>
    <w:pPr>
      <w:keepNext/>
      <w:numPr>
        <w:ilvl w:val="5"/>
        <w:numId w:val="1"/>
      </w:numPr>
      <w:suppressAutoHyphens/>
      <w:spacing w:after="0" w:line="240" w:lineRule="auto"/>
      <w:jc w:val="both"/>
      <w:outlineLvl w:val="5"/>
    </w:pPr>
    <w:rPr>
      <w:rFonts w:ascii="Times New Roman" w:eastAsia="Times New Roman" w:hAnsi="Times New Roman"/>
      <w:b/>
      <w:bCs/>
      <w:color w:val="000000"/>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084BBB"/>
    <w:rPr>
      <w:rFonts w:ascii="TimesNewRomanPS-BoldMT" w:hAnsi="TimesNewRomanPS-BoldMT" w:hint="default"/>
      <w:b/>
      <w:bCs/>
      <w:i w:val="0"/>
      <w:iCs w:val="0"/>
      <w:color w:val="444444"/>
      <w:sz w:val="22"/>
      <w:szCs w:val="22"/>
    </w:rPr>
  </w:style>
  <w:style w:type="character" w:customStyle="1" w:styleId="fontstyle21">
    <w:name w:val="fontstyle21"/>
    <w:basedOn w:val="Domylnaczcionkaakapitu"/>
    <w:rsid w:val="00084BBB"/>
    <w:rPr>
      <w:rFonts w:ascii="TimesNewRomanPSMT" w:hAnsi="TimesNewRomanPSMT" w:hint="default"/>
      <w:b w:val="0"/>
      <w:bCs w:val="0"/>
      <w:i w:val="0"/>
      <w:iCs w:val="0"/>
      <w:color w:val="000000"/>
      <w:sz w:val="22"/>
      <w:szCs w:val="22"/>
    </w:rPr>
  </w:style>
  <w:style w:type="character" w:customStyle="1" w:styleId="Nagwek1Znak">
    <w:name w:val="Nagłówek 1 Znak"/>
    <w:basedOn w:val="Domylnaczcionkaakapitu"/>
    <w:link w:val="Nagwek1"/>
    <w:uiPriority w:val="9"/>
    <w:rsid w:val="00084BBB"/>
    <w:rPr>
      <w:rFonts w:ascii="Times New Roman" w:eastAsia="Times New Roman" w:hAnsi="Times New Roman" w:cs="Times New Roman"/>
      <w:b/>
      <w:bCs/>
      <w:sz w:val="16"/>
      <w:szCs w:val="16"/>
      <w:lang w:eastAsia="ar-SA"/>
    </w:rPr>
  </w:style>
  <w:style w:type="character" w:customStyle="1" w:styleId="Nagwek2Znak">
    <w:name w:val="Nagłówek 2 Znak"/>
    <w:basedOn w:val="Domylnaczcionkaakapitu"/>
    <w:link w:val="Nagwek2"/>
    <w:rsid w:val="00084BBB"/>
    <w:rPr>
      <w:rFonts w:ascii="Times New Roman" w:eastAsia="Times New Roman" w:hAnsi="Times New Roman" w:cs="Times New Roman"/>
      <w:b/>
      <w:bCs/>
      <w:sz w:val="20"/>
      <w:szCs w:val="20"/>
      <w:lang w:eastAsia="ar-SA"/>
    </w:rPr>
  </w:style>
  <w:style w:type="character" w:customStyle="1" w:styleId="Nagwek3Znak">
    <w:name w:val="Nagłówek 3 Znak"/>
    <w:basedOn w:val="Domylnaczcionkaakapitu"/>
    <w:link w:val="Nagwek3"/>
    <w:rsid w:val="00084BBB"/>
    <w:rPr>
      <w:rFonts w:ascii="Times New Roman" w:eastAsia="Times New Roman" w:hAnsi="Times New Roman" w:cs="Times New Roman"/>
      <w:b/>
      <w:bCs/>
      <w:sz w:val="24"/>
      <w:szCs w:val="20"/>
      <w:lang w:eastAsia="ar-SA"/>
    </w:rPr>
  </w:style>
  <w:style w:type="character" w:customStyle="1" w:styleId="Nagwek4Znak">
    <w:name w:val="Nagłówek 4 Znak"/>
    <w:basedOn w:val="Domylnaczcionkaakapitu"/>
    <w:link w:val="Nagwek4"/>
    <w:rsid w:val="00084BBB"/>
    <w:rPr>
      <w:rFonts w:ascii="Times New Roman" w:eastAsia="Times New Roman" w:hAnsi="Times New Roman" w:cs="Times New Roman"/>
      <w:b/>
      <w:color w:val="000080"/>
      <w:sz w:val="24"/>
      <w:szCs w:val="20"/>
      <w:lang w:eastAsia="ar-SA"/>
    </w:rPr>
  </w:style>
  <w:style w:type="character" w:customStyle="1" w:styleId="Nagwek5Znak">
    <w:name w:val="Nagłówek 5 Znak"/>
    <w:basedOn w:val="Domylnaczcionkaakapitu"/>
    <w:link w:val="Nagwek5"/>
    <w:rsid w:val="00084BBB"/>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084BBB"/>
    <w:rPr>
      <w:rFonts w:ascii="Times New Roman" w:eastAsia="Times New Roman" w:hAnsi="Times New Roman" w:cs="Times New Roman"/>
      <w:b/>
      <w:bCs/>
      <w:color w:val="000000"/>
      <w:sz w:val="28"/>
      <w:szCs w:val="20"/>
      <w:lang w:eastAsia="ar-SA"/>
    </w:rPr>
  </w:style>
  <w:style w:type="paragraph" w:customStyle="1" w:styleId="Zawartotabeli">
    <w:name w:val="Zawartość tabeli"/>
    <w:basedOn w:val="Normalny"/>
    <w:rsid w:val="00084BBB"/>
    <w:pPr>
      <w:suppressLineNumbers/>
      <w:suppressAutoHyphens/>
      <w:spacing w:after="0" w:line="240" w:lineRule="auto"/>
    </w:pPr>
    <w:rPr>
      <w:rFonts w:ascii="Times New Roman" w:eastAsia="Times New Roman" w:hAnsi="Times New Roman"/>
      <w:sz w:val="20"/>
      <w:szCs w:val="20"/>
      <w:lang w:eastAsia="ar-SA"/>
    </w:rPr>
  </w:style>
  <w:style w:type="character" w:styleId="Hipercze">
    <w:name w:val="Hyperlink"/>
    <w:basedOn w:val="Domylnaczcionkaakapitu"/>
    <w:uiPriority w:val="99"/>
    <w:unhideWhenUsed/>
    <w:rsid w:val="00084BBB"/>
    <w:rPr>
      <w:color w:val="0563C1" w:themeColor="hyperlink"/>
      <w:u w:val="single"/>
    </w:rPr>
  </w:style>
  <w:style w:type="character" w:styleId="Nierozpoznanawzmianka">
    <w:name w:val="Unresolved Mention"/>
    <w:basedOn w:val="Domylnaczcionkaakapitu"/>
    <w:uiPriority w:val="99"/>
    <w:semiHidden/>
    <w:unhideWhenUsed/>
    <w:rsid w:val="00084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tm@ztm.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3222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Zarząd Transportu Miejskiego w Rzeszowie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Jovi_x</dc:creator>
  <cp:keywords/>
  <dc:description/>
  <cp:lastModifiedBy>mk</cp:lastModifiedBy>
  <cp:revision>3</cp:revision>
  <cp:lastPrinted>2023-11-28T14:05:00Z</cp:lastPrinted>
  <dcterms:created xsi:type="dcterms:W3CDTF">2022-11-28T07:33:00Z</dcterms:created>
  <dcterms:modified xsi:type="dcterms:W3CDTF">2023-11-28T14:26:00Z</dcterms:modified>
</cp:coreProperties>
</file>